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323682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730885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32368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323682">
        <w:rPr>
          <w:rFonts w:ascii="Times New Roman" w:hAnsi="Times New Roman" w:cs="Times New Roman"/>
          <w:b/>
          <w:bCs/>
        </w:rPr>
        <w:t>(</w:t>
      </w:r>
      <w:r w:rsidR="005B4C0C">
        <w:rPr>
          <w:rFonts w:ascii="Times New Roman" w:hAnsi="Times New Roman" w:cs="Times New Roman"/>
          <w:b/>
          <w:bCs/>
        </w:rPr>
        <w:t>3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F6674A">
        <w:rPr>
          <w:rFonts w:ascii="Times New Roman" w:hAnsi="Times New Roman" w:cs="Times New Roman"/>
          <w:b/>
          <w:bCs/>
        </w:rPr>
        <w:t>а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D56003" w:rsidRPr="00D56003">
        <w:rPr>
          <w:rFonts w:ascii="Times New Roman" w:hAnsi="Times New Roman" w:cs="Times New Roman"/>
        </w:rPr>
        <w:t xml:space="preserve">                                                        </w:t>
      </w:r>
      <w:r w:rsidR="00730885">
        <w:rPr>
          <w:rFonts w:ascii="Times New Roman" w:hAnsi="Times New Roman" w:cs="Times New Roman"/>
        </w:rPr>
        <w:t xml:space="preserve">      </w:t>
      </w:r>
      <w:r w:rsidR="00D56003" w:rsidRPr="00D56003">
        <w:rPr>
          <w:rFonts w:ascii="Times New Roman" w:hAnsi="Times New Roman" w:cs="Times New Roman"/>
        </w:rPr>
        <w:t xml:space="preserve">   </w:t>
      </w:r>
      <w:r w:rsidR="005B4C0C">
        <w:rPr>
          <w:rFonts w:ascii="Times New Roman" w:hAnsi="Times New Roman" w:cs="Times New Roman"/>
        </w:rPr>
        <w:t>3 июля</w:t>
      </w:r>
      <w:r w:rsidR="00C54E01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D5600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Pr="009E08CF">
        <w:rPr>
          <w:sz w:val="28"/>
          <w:szCs w:val="28"/>
        </w:rPr>
        <w:t xml:space="preserve"> </w:t>
      </w:r>
      <w:r w:rsidR="005B4C0C">
        <w:rPr>
          <w:sz w:val="28"/>
          <w:szCs w:val="28"/>
        </w:rPr>
        <w:t>4</w:t>
      </w:r>
      <w:r w:rsidRPr="009E08CF">
        <w:rPr>
          <w:sz w:val="28"/>
          <w:szCs w:val="28"/>
        </w:rPr>
        <w:t>)</w:t>
      </w:r>
      <w:r w:rsidR="005B4C0C">
        <w:rPr>
          <w:sz w:val="28"/>
          <w:szCs w:val="28"/>
        </w:rPr>
        <w:t xml:space="preserve"> пункта 105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670"/>
      </w:tblGrid>
      <w:tr w:rsidR="00D56003" w:rsidTr="00264449">
        <w:tc>
          <w:tcPr>
            <w:tcW w:w="4390" w:type="dxa"/>
          </w:tcPr>
          <w:p w:rsidR="00D56003" w:rsidRDefault="00D56003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="0081121C">
              <w:rPr>
                <w:sz w:val="28"/>
                <w:szCs w:val="28"/>
              </w:rPr>
              <w:t>Абдрахманова</w:t>
            </w:r>
            <w:proofErr w:type="spellEnd"/>
            <w:r w:rsidR="0081121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81121C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  <w:r w:rsidR="00D5600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D56003" w:rsidTr="00264449">
        <w:tc>
          <w:tcPr>
            <w:tcW w:w="4390" w:type="dxa"/>
          </w:tcPr>
          <w:p w:rsidR="00D56003" w:rsidRDefault="005B4C0C" w:rsidP="00C54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003">
              <w:rPr>
                <w:sz w:val="28"/>
                <w:szCs w:val="28"/>
              </w:rPr>
              <w:t xml:space="preserve">) </w:t>
            </w:r>
            <w:proofErr w:type="spellStart"/>
            <w:r w:rsidR="00C54E01">
              <w:rPr>
                <w:sz w:val="28"/>
                <w:szCs w:val="28"/>
              </w:rPr>
              <w:t>Бибеков</w:t>
            </w:r>
            <w:proofErr w:type="spellEnd"/>
            <w:r w:rsidR="00C54E01">
              <w:rPr>
                <w:sz w:val="28"/>
                <w:szCs w:val="28"/>
              </w:rPr>
              <w:t xml:space="preserve"> Ж.Ж.</w:t>
            </w:r>
            <w:r w:rsidR="00730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C54E01" w:rsidP="00C54E01">
            <w:pPr>
              <w:jc w:val="both"/>
              <w:rPr>
                <w:sz w:val="28"/>
                <w:szCs w:val="28"/>
              </w:rPr>
            </w:pPr>
            <w:r w:rsidRPr="00C54E01">
              <w:rPr>
                <w:color w:val="000000"/>
                <w:sz w:val="28"/>
                <w:szCs w:val="28"/>
              </w:rPr>
              <w:t>заведующий  отделением заготовки крови и ее компонентов;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6003">
              <w:rPr>
                <w:sz w:val="28"/>
                <w:szCs w:val="28"/>
              </w:rPr>
              <w:t xml:space="preserve">) </w:t>
            </w:r>
            <w:proofErr w:type="spellStart"/>
            <w:r w:rsidR="00730885">
              <w:rPr>
                <w:sz w:val="28"/>
                <w:szCs w:val="28"/>
              </w:rPr>
              <w:t>Куанышева</w:t>
            </w:r>
            <w:proofErr w:type="spellEnd"/>
            <w:r w:rsidR="00730885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730885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003">
              <w:rPr>
                <w:sz w:val="28"/>
                <w:szCs w:val="28"/>
              </w:rPr>
              <w:t xml:space="preserve">) </w:t>
            </w:r>
            <w:proofErr w:type="spellStart"/>
            <w:r w:rsidR="00730885">
              <w:rPr>
                <w:sz w:val="28"/>
                <w:szCs w:val="28"/>
              </w:rPr>
              <w:t>Тугамбаев</w:t>
            </w:r>
            <w:proofErr w:type="spellEnd"/>
            <w:r w:rsidR="00730885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003">
              <w:rPr>
                <w:sz w:val="28"/>
                <w:szCs w:val="28"/>
              </w:rPr>
              <w:t>) Болтаева</w:t>
            </w:r>
            <w:r w:rsidR="00716D22">
              <w:rPr>
                <w:sz w:val="28"/>
                <w:szCs w:val="28"/>
              </w:rPr>
              <w:t xml:space="preserve"> </w:t>
            </w:r>
            <w:r w:rsidR="00D56003">
              <w:rPr>
                <w:sz w:val="28"/>
                <w:szCs w:val="28"/>
              </w:rPr>
              <w:t>К.С.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5B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730885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>Даулетов Д.М.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5B4C0C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  <w:r w:rsidR="00D56003">
              <w:rPr>
                <w:sz w:val="28"/>
                <w:szCs w:val="28"/>
              </w:rPr>
              <w:t xml:space="preserve"> отдела маркетинга и государственных закупок, секретарь комиссии</w:t>
            </w:r>
          </w:p>
        </w:tc>
      </w:tr>
    </w:tbl>
    <w:p w:rsidR="000B5B7C" w:rsidRPr="001E591A" w:rsidRDefault="005B4C0C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июля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МЗ РК от </w:t>
      </w:r>
      <w:r>
        <w:rPr>
          <w:sz w:val="28"/>
          <w:szCs w:val="28"/>
          <w:lang w:val="kk-KZ"/>
        </w:rPr>
        <w:t>28 июня</w:t>
      </w:r>
      <w:r w:rsidR="00730885">
        <w:rPr>
          <w:sz w:val="28"/>
          <w:szCs w:val="28"/>
          <w:lang w:val="kk-KZ"/>
        </w:rPr>
        <w:t xml:space="preserve"> 2021</w:t>
      </w:r>
      <w:r w:rsidR="000B5B7C" w:rsidRPr="009E08C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296</w:t>
      </w:r>
      <w:r w:rsidR="00D560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  <w:lang w:val="kk-KZ"/>
        </w:rPr>
        <w:t>н/қ «</w:t>
      </w:r>
      <w:r w:rsidR="00B15EC1" w:rsidRPr="00B15EC1">
        <w:rPr>
          <w:sz w:val="28"/>
          <w:szCs w:val="28"/>
        </w:rPr>
        <w:t xml:space="preserve">О проведении закупа способом из одного источника 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B15EC1" w:rsidRPr="00B15EC1">
        <w:rPr>
          <w:sz w:val="28"/>
          <w:szCs w:val="28"/>
        </w:rPr>
        <w:t xml:space="preserve"> год способом из одного источника</w:t>
      </w:r>
      <w:r w:rsidR="00730885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2204EA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="002204EA">
        <w:rPr>
          <w:sz w:val="28"/>
          <w:szCs w:val="28"/>
        </w:rPr>
        <w:t>)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 w:rsidR="00D56003">
        <w:rPr>
          <w:sz w:val="28"/>
          <w:szCs w:val="28"/>
        </w:rPr>
        <w:t xml:space="preserve">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</w:t>
      </w:r>
      <w:r w:rsidR="00D56003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D5600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 xml:space="preserve">и медицинской </w:t>
      </w:r>
      <w:r w:rsidRPr="009E08CF">
        <w:lastRenderedPageBreak/>
        <w:t>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730885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E71E1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1C" w:rsidRPr="009E08CF" w:rsidRDefault="00730885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01" w:rsidRPr="00C54E01" w:rsidRDefault="00C54E01" w:rsidP="00C54E01">
            <w:pPr>
              <w:rPr>
                <w:sz w:val="28"/>
                <w:szCs w:val="28"/>
                <w:lang w:val="kk-KZ" w:eastAsia="en-US"/>
              </w:rPr>
            </w:pPr>
            <w:r w:rsidRPr="00C54E01">
              <w:rPr>
                <w:sz w:val="28"/>
                <w:szCs w:val="28"/>
                <w:lang w:val="kk-KZ" w:eastAsia="en-US"/>
              </w:rPr>
              <w:t>ТОО «Eira Med» (Эйра Мед)</w:t>
            </w:r>
          </w:p>
          <w:p w:rsidR="00E71E1C" w:rsidRPr="00C54E01" w:rsidRDefault="00E71E1C" w:rsidP="00C54E0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01" w:rsidRPr="00C54E01" w:rsidRDefault="00C54E01" w:rsidP="00C54E01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  <w:r w:rsidRPr="00C54E01">
              <w:rPr>
                <w:bCs/>
                <w:sz w:val="28"/>
                <w:szCs w:val="28"/>
                <w:lang w:val="kk-KZ"/>
              </w:rPr>
              <w:t>г. Нур-Султан, ул. 92, зд.4</w:t>
            </w:r>
          </w:p>
          <w:p w:rsidR="00C54E01" w:rsidRPr="00C54E01" w:rsidRDefault="00C54E01" w:rsidP="00C54E01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</w:p>
          <w:p w:rsidR="00E71E1C" w:rsidRPr="00C54E01" w:rsidRDefault="00E71E1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1C" w:rsidRPr="00AB0F94" w:rsidRDefault="00E71E1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AB0F94">
              <w:rPr>
                <w:lang w:eastAsia="en-US"/>
              </w:rPr>
              <w:t xml:space="preserve">от </w:t>
            </w:r>
            <w:r w:rsidR="00C54E01">
              <w:rPr>
                <w:lang w:eastAsia="en-US"/>
              </w:rPr>
              <w:t>29</w:t>
            </w:r>
            <w:r w:rsidR="00730885">
              <w:rPr>
                <w:lang w:eastAsia="en-US"/>
              </w:rPr>
              <w:t>.0</w:t>
            </w:r>
            <w:r w:rsidR="005B4C0C">
              <w:rPr>
                <w:lang w:eastAsia="en-US"/>
              </w:rPr>
              <w:t>6</w:t>
            </w:r>
            <w:r w:rsidR="00730885">
              <w:rPr>
                <w:lang w:eastAsia="en-US"/>
              </w:rPr>
              <w:t>.</w:t>
            </w:r>
            <w:r w:rsidRPr="00AB0F94">
              <w:rPr>
                <w:lang w:eastAsia="en-US"/>
              </w:rPr>
              <w:t>202</w:t>
            </w:r>
            <w:r w:rsidR="00730885">
              <w:rPr>
                <w:lang w:eastAsia="en-US"/>
              </w:rPr>
              <w:t>1</w:t>
            </w:r>
          </w:p>
          <w:p w:rsidR="00E71E1C" w:rsidRPr="00AB0F94" w:rsidRDefault="00E71E1C" w:rsidP="005B4C0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AB0F94">
              <w:rPr>
                <w:lang w:eastAsia="en-US"/>
              </w:rPr>
              <w:t>№</w:t>
            </w:r>
            <w:r>
              <w:rPr>
                <w:lang w:eastAsia="en-US"/>
              </w:rPr>
              <w:t>22-</w:t>
            </w:r>
            <w:r w:rsidR="00730885">
              <w:rPr>
                <w:lang w:eastAsia="en-US"/>
              </w:rPr>
              <w:t>53</w:t>
            </w:r>
            <w:r>
              <w:rPr>
                <w:lang w:eastAsia="en-US"/>
              </w:rPr>
              <w:t>-</w:t>
            </w:r>
            <w:r w:rsidR="005B4C0C">
              <w:rPr>
                <w:lang w:eastAsia="en-US"/>
              </w:rPr>
              <w:t>434</w:t>
            </w:r>
            <w:r>
              <w:rPr>
                <w:lang w:eastAsia="en-US"/>
              </w:rPr>
              <w:t>б</w:t>
            </w:r>
          </w:p>
        </w:tc>
      </w:tr>
      <w:tr w:rsidR="005B4C0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Default="005B4C0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Pr="005B4C0C" w:rsidRDefault="005B4C0C" w:rsidP="005B4C0C">
            <w:pPr>
              <w:rPr>
                <w:sz w:val="28"/>
                <w:szCs w:val="28"/>
                <w:lang w:val="kk-KZ" w:eastAsia="en-US"/>
              </w:rPr>
            </w:pPr>
            <w:r w:rsidRPr="005B4C0C">
              <w:rPr>
                <w:sz w:val="28"/>
                <w:szCs w:val="28"/>
                <w:lang w:val="kk-KZ" w:eastAsia="en-US"/>
              </w:rPr>
              <w:t>ТОО «Медицина Әлемы»</w:t>
            </w:r>
          </w:p>
          <w:p w:rsidR="005B4C0C" w:rsidRPr="00C54E01" w:rsidRDefault="005B4C0C" w:rsidP="005B4C0C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Pr="00C54E01" w:rsidRDefault="005B4C0C" w:rsidP="00C54E01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  <w:r w:rsidRPr="005B4C0C">
              <w:rPr>
                <w:sz w:val="28"/>
                <w:szCs w:val="28"/>
                <w:lang w:val="kk-KZ" w:eastAsia="en-US"/>
              </w:rPr>
              <w:t>г. Нур-Султан, ул. Мариям Жагоркызы, д. 21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Pr="005B4C0C" w:rsidRDefault="005B4C0C" w:rsidP="005B4C0C">
            <w:pPr>
              <w:rPr>
                <w:sz w:val="28"/>
                <w:szCs w:val="28"/>
                <w:lang w:eastAsia="en-US"/>
              </w:rPr>
            </w:pPr>
            <w:r w:rsidRPr="005B4C0C">
              <w:rPr>
                <w:sz w:val="28"/>
                <w:szCs w:val="28"/>
                <w:lang w:eastAsia="en-US"/>
              </w:rPr>
              <w:t>от 29.06.2021</w:t>
            </w:r>
          </w:p>
          <w:p w:rsidR="005B4C0C" w:rsidRPr="00AB0F94" w:rsidRDefault="005B4C0C" w:rsidP="005B4C0C">
            <w:pPr>
              <w:rPr>
                <w:lang w:eastAsia="en-US"/>
              </w:rPr>
            </w:pPr>
            <w:r w:rsidRPr="005B4C0C">
              <w:rPr>
                <w:sz w:val="28"/>
                <w:szCs w:val="28"/>
                <w:lang w:eastAsia="en-US"/>
              </w:rPr>
              <w:t>№22-53-433б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C54E01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C54E0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01" w:rsidRPr="00C54E01" w:rsidRDefault="00C54E01" w:rsidP="00C54E01">
            <w:pPr>
              <w:rPr>
                <w:sz w:val="28"/>
                <w:szCs w:val="28"/>
                <w:lang w:val="kk-KZ" w:eastAsia="en-US"/>
              </w:rPr>
            </w:pPr>
            <w:r w:rsidRPr="00C54E01">
              <w:rPr>
                <w:sz w:val="28"/>
                <w:szCs w:val="28"/>
                <w:lang w:val="kk-KZ" w:eastAsia="en-US"/>
              </w:rPr>
              <w:t>ТОО «Eira Med» (Эйра Мед)</w:t>
            </w:r>
          </w:p>
          <w:p w:rsidR="00C54E01" w:rsidRPr="00C54E01" w:rsidRDefault="00C54E01" w:rsidP="00C54E0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01" w:rsidRPr="00C54E01" w:rsidRDefault="00C54E01" w:rsidP="00C54E01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  <w:r w:rsidRPr="00C54E01">
              <w:rPr>
                <w:bCs/>
                <w:sz w:val="28"/>
                <w:szCs w:val="28"/>
                <w:lang w:val="kk-KZ"/>
              </w:rPr>
              <w:t>г. Нур-Султан, ул. 92, зд.4</w:t>
            </w:r>
          </w:p>
          <w:p w:rsidR="00C54E01" w:rsidRPr="00C54E01" w:rsidRDefault="00C54E01" w:rsidP="00C54E01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</w:p>
          <w:p w:rsidR="00C54E01" w:rsidRPr="00C54E01" w:rsidRDefault="00C54E01" w:rsidP="00C54E0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E01" w:rsidRDefault="003226D4" w:rsidP="00C54E0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C54E01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="00C54E01">
              <w:rPr>
                <w:lang w:eastAsia="en-US"/>
              </w:rPr>
              <w:t>.2021</w:t>
            </w:r>
          </w:p>
          <w:p w:rsidR="00C54E01" w:rsidRDefault="003226D4" w:rsidP="00C54E0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</w:t>
            </w:r>
            <w:r w:rsidR="00C54E01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</w:p>
        </w:tc>
      </w:tr>
      <w:tr w:rsidR="005B4C0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Default="005B4C0C" w:rsidP="005B4C0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Pr="005B4C0C" w:rsidRDefault="005B4C0C" w:rsidP="005B4C0C">
            <w:pPr>
              <w:rPr>
                <w:sz w:val="28"/>
                <w:szCs w:val="28"/>
                <w:lang w:val="kk-KZ" w:eastAsia="en-US"/>
              </w:rPr>
            </w:pPr>
            <w:r w:rsidRPr="005B4C0C">
              <w:rPr>
                <w:sz w:val="28"/>
                <w:szCs w:val="28"/>
                <w:lang w:val="kk-KZ" w:eastAsia="en-US"/>
              </w:rPr>
              <w:t>ТОО «Медицина Әлемы»</w:t>
            </w:r>
          </w:p>
          <w:p w:rsidR="005B4C0C" w:rsidRPr="00C54E01" w:rsidRDefault="005B4C0C" w:rsidP="005B4C0C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Pr="00C54E01" w:rsidRDefault="005B4C0C" w:rsidP="005B4C0C">
            <w:pPr>
              <w:tabs>
                <w:tab w:val="left" w:pos="1100"/>
                <w:tab w:val="left" w:pos="7020"/>
              </w:tabs>
              <w:rPr>
                <w:bCs/>
                <w:sz w:val="28"/>
                <w:szCs w:val="28"/>
                <w:lang w:val="kk-KZ"/>
              </w:rPr>
            </w:pPr>
            <w:r w:rsidRPr="005B4C0C">
              <w:rPr>
                <w:sz w:val="28"/>
                <w:szCs w:val="28"/>
                <w:lang w:val="kk-KZ" w:eastAsia="en-US"/>
              </w:rPr>
              <w:t>г. Нур-Султан, ул. Мариям Жагоркызы, д.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0C" w:rsidRDefault="005B4C0C" w:rsidP="005B4C0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02.07.2021</w:t>
            </w:r>
          </w:p>
          <w:p w:rsidR="003226D4" w:rsidRDefault="003226D4" w:rsidP="005B4C0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10:56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226D4" w:rsidRDefault="003226D4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лоту «</w:t>
      </w:r>
      <w:r w:rsidRPr="003226D4">
        <w:rPr>
          <w:color w:val="000000"/>
          <w:sz w:val="28"/>
          <w:szCs w:val="28"/>
        </w:rPr>
        <w:t xml:space="preserve">Система для забора дозы цельной крови из пяти контейнеров 450/450/450/450/450 мл, с антикоагулянтом CPD 63 мл, добавочным раствором SAGM 100 мл, фильтром для </w:t>
      </w:r>
      <w:proofErr w:type="spellStart"/>
      <w:r w:rsidRPr="003226D4">
        <w:rPr>
          <w:color w:val="000000"/>
          <w:sz w:val="28"/>
          <w:szCs w:val="28"/>
        </w:rPr>
        <w:t>лейкофильтрации</w:t>
      </w:r>
      <w:proofErr w:type="spellEnd"/>
      <w:r w:rsidRPr="003226D4">
        <w:rPr>
          <w:color w:val="000000"/>
          <w:sz w:val="28"/>
          <w:szCs w:val="28"/>
        </w:rPr>
        <w:t xml:space="preserve"> </w:t>
      </w:r>
      <w:proofErr w:type="spellStart"/>
      <w:r w:rsidRPr="003226D4">
        <w:rPr>
          <w:color w:val="000000"/>
          <w:sz w:val="28"/>
          <w:szCs w:val="28"/>
        </w:rPr>
        <w:t>эритроцитной</w:t>
      </w:r>
      <w:proofErr w:type="spellEnd"/>
      <w:r w:rsidRPr="003226D4">
        <w:rPr>
          <w:color w:val="000000"/>
          <w:sz w:val="28"/>
          <w:szCs w:val="28"/>
        </w:rPr>
        <w:t xml:space="preserve"> взвеси, фильтром для </w:t>
      </w:r>
      <w:proofErr w:type="spellStart"/>
      <w:r w:rsidRPr="003226D4">
        <w:rPr>
          <w:color w:val="000000"/>
          <w:sz w:val="28"/>
          <w:szCs w:val="28"/>
        </w:rPr>
        <w:t>лейкофильтрации</w:t>
      </w:r>
      <w:proofErr w:type="spellEnd"/>
      <w:r w:rsidRPr="003226D4">
        <w:rPr>
          <w:color w:val="000000"/>
          <w:sz w:val="28"/>
          <w:szCs w:val="28"/>
        </w:rPr>
        <w:t xml:space="preserve"> плазмы, дополнительным мешком для взятия образца крови, адаптером для вакуумных пробирок, пункционной иглой 16G, протекторо</w:t>
      </w:r>
      <w:r>
        <w:rPr>
          <w:color w:val="000000"/>
          <w:sz w:val="28"/>
          <w:szCs w:val="28"/>
        </w:rPr>
        <w:t xml:space="preserve">м иглы. Конфигурация </w:t>
      </w:r>
      <w:proofErr w:type="spellStart"/>
      <w:r>
        <w:rPr>
          <w:color w:val="000000"/>
          <w:sz w:val="28"/>
          <w:szCs w:val="28"/>
        </w:rPr>
        <w:t>Top&amp;Bottom</w:t>
      </w:r>
      <w:proofErr w:type="spellEnd"/>
      <w:r>
        <w:rPr>
          <w:color w:val="000000"/>
          <w:sz w:val="28"/>
          <w:szCs w:val="28"/>
        </w:rPr>
        <w:t xml:space="preserve">» согласие на участие в </w:t>
      </w:r>
      <w:proofErr w:type="gramStart"/>
      <w:r>
        <w:rPr>
          <w:color w:val="000000"/>
          <w:sz w:val="28"/>
          <w:szCs w:val="28"/>
        </w:rPr>
        <w:t>закупе  от</w:t>
      </w:r>
      <w:proofErr w:type="gramEnd"/>
      <w:r>
        <w:rPr>
          <w:color w:val="000000"/>
          <w:sz w:val="28"/>
          <w:szCs w:val="28"/>
        </w:rPr>
        <w:t xml:space="preserve"> потенциального поставщика не поступило. </w:t>
      </w: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 xml:space="preserve"> </w:t>
      </w:r>
      <w:proofErr w:type="spellStart"/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proofErr w:type="spellEnd"/>
      <w:r w:rsidRPr="003B0339">
        <w:rPr>
          <w:color w:val="000000"/>
          <w:sz w:val="28"/>
          <w:szCs w:val="28"/>
        </w:rPr>
        <w:t>.</w:t>
      </w:r>
      <w:r w:rsidR="007643FD">
        <w:rPr>
          <w:color w:val="000000"/>
          <w:sz w:val="28"/>
          <w:szCs w:val="28"/>
        </w:rPr>
        <w:t xml:space="preserve"> 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1</w:t>
      </w:r>
      <w:r w:rsidR="003226D4">
        <w:rPr>
          <w:color w:val="000000"/>
          <w:sz w:val="28"/>
          <w:szCs w:val="28"/>
        </w:rPr>
        <w:t xml:space="preserve">05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AB0F94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AB0F94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343"/>
        <w:gridCol w:w="780"/>
        <w:gridCol w:w="1301"/>
        <w:gridCol w:w="1300"/>
        <w:gridCol w:w="1561"/>
        <w:gridCol w:w="2211"/>
      </w:tblGrid>
      <w:tr w:rsidR="00C54E01" w:rsidRPr="009E08CF" w:rsidTr="00C54E01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C54E01" w:rsidRPr="009E08CF" w:rsidTr="00C54E01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22234E" w:rsidRDefault="00C54E01" w:rsidP="00C54E01">
            <w:pPr>
              <w:jc w:val="center"/>
              <w:rPr>
                <w:color w:val="000000"/>
                <w:sz w:val="20"/>
                <w:szCs w:val="20"/>
              </w:rPr>
            </w:pPr>
            <w:r w:rsidRPr="00222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01" w:rsidRDefault="00C54E01" w:rsidP="00C54E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01" w:rsidRDefault="00C54E01" w:rsidP="00C54E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E01" w:rsidRDefault="003226D4" w:rsidP="00C5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C54E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01" w:rsidRDefault="00C54E01" w:rsidP="00C54E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E01" w:rsidRDefault="003226D4" w:rsidP="003226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6 316 200,00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01" w:rsidRDefault="003226D4" w:rsidP="0032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август- 660 </w:t>
            </w:r>
            <w:r w:rsidR="00C54E01" w:rsidRPr="00C54E01">
              <w:rPr>
                <w:color w:val="000000"/>
                <w:sz w:val="20"/>
                <w:szCs w:val="20"/>
              </w:rPr>
              <w:t>штук</w:t>
            </w:r>
          </w:p>
        </w:tc>
      </w:tr>
      <w:tr w:rsidR="003226D4" w:rsidRPr="009E08CF" w:rsidTr="0045077D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6D4" w:rsidRPr="0022234E" w:rsidRDefault="003226D4" w:rsidP="0032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D4" w:rsidRDefault="003226D4" w:rsidP="003226D4">
            <w:pPr>
              <w:rPr>
                <w:color w:val="000000"/>
                <w:sz w:val="20"/>
                <w:szCs w:val="20"/>
              </w:rPr>
            </w:pPr>
            <w:r w:rsidRPr="003226D4"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</w:t>
            </w:r>
            <w:proofErr w:type="spellStart"/>
            <w:r w:rsidRPr="003226D4">
              <w:rPr>
                <w:color w:val="000000"/>
                <w:sz w:val="20"/>
                <w:szCs w:val="20"/>
              </w:rPr>
              <w:t>Reflotron</w:t>
            </w:r>
            <w:proofErr w:type="spellEnd"/>
            <w:r w:rsidRPr="003226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D4">
              <w:rPr>
                <w:color w:val="000000"/>
                <w:sz w:val="20"/>
                <w:szCs w:val="20"/>
              </w:rPr>
              <w:t>Plus,набор</w:t>
            </w:r>
            <w:proofErr w:type="spellEnd"/>
            <w:r w:rsidRPr="003226D4">
              <w:rPr>
                <w:color w:val="000000"/>
                <w:sz w:val="20"/>
                <w:szCs w:val="20"/>
              </w:rPr>
              <w:t xml:space="preserve"> состоит из 30 полос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D4" w:rsidRDefault="003226D4" w:rsidP="0032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D4" w:rsidRDefault="003226D4" w:rsidP="00322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D4" w:rsidRDefault="003226D4" w:rsidP="00322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D4" w:rsidRDefault="00E4282D" w:rsidP="003226D4">
            <w:pPr>
              <w:jc w:val="center"/>
              <w:rPr>
                <w:color w:val="000000"/>
                <w:sz w:val="20"/>
                <w:szCs w:val="20"/>
              </w:rPr>
            </w:pPr>
            <w:r w:rsidRPr="00E4282D">
              <w:rPr>
                <w:color w:val="000000"/>
                <w:sz w:val="20"/>
                <w:szCs w:val="20"/>
              </w:rPr>
              <w:t>10 076 024,00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D4" w:rsidRPr="00C54E01" w:rsidRDefault="003226D4" w:rsidP="003226D4">
            <w:pPr>
              <w:jc w:val="center"/>
              <w:rPr>
                <w:color w:val="000000"/>
                <w:sz w:val="20"/>
                <w:szCs w:val="20"/>
              </w:rPr>
            </w:pPr>
            <w:r w:rsidRPr="003226D4">
              <w:rPr>
                <w:color w:val="000000"/>
                <w:sz w:val="20"/>
                <w:szCs w:val="20"/>
              </w:rPr>
              <w:t>июль-150 упаковок ноябрь - 172упаковок</w:t>
            </w:r>
          </w:p>
        </w:tc>
      </w:tr>
    </w:tbl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</w:p>
    <w:p w:rsidR="000B5B7C" w:rsidRPr="009E08CF" w:rsidRDefault="009E2F19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9E2F19" w:rsidRDefault="00C54E01" w:rsidP="00C93242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</w:t>
      </w:r>
      <w:r w:rsidRPr="00C54E01">
        <w:rPr>
          <w:color w:val="000000"/>
          <w:sz w:val="28"/>
          <w:szCs w:val="28"/>
          <w:lang w:val="kk-KZ"/>
        </w:rPr>
        <w:t>ОО «Eira Med» (Эйра Мед)</w:t>
      </w:r>
      <w:r w:rsidR="009E2F19">
        <w:rPr>
          <w:color w:val="000000"/>
          <w:sz w:val="28"/>
          <w:szCs w:val="28"/>
        </w:rPr>
        <w:t xml:space="preserve">, </w:t>
      </w:r>
      <w:r w:rsidR="009E2F19" w:rsidRPr="009E08CF">
        <w:rPr>
          <w:sz w:val="28"/>
          <w:szCs w:val="28"/>
        </w:rPr>
        <w:t>расположенное по адресу</w:t>
      </w:r>
      <w:r w:rsidRPr="00C54E01">
        <w:rPr>
          <w:bCs/>
          <w:sz w:val="28"/>
          <w:szCs w:val="28"/>
          <w:lang w:val="kk-KZ"/>
        </w:rPr>
        <w:t xml:space="preserve"> г. Нур-Султан, ул. 92, зд.4</w:t>
      </w:r>
      <w:r w:rsidR="0021729C">
        <w:rPr>
          <w:bCs/>
          <w:sz w:val="28"/>
          <w:szCs w:val="28"/>
        </w:rPr>
        <w:t xml:space="preserve"> </w:t>
      </w:r>
      <w:r w:rsidR="009E2F19">
        <w:rPr>
          <w:sz w:val="28"/>
          <w:szCs w:val="28"/>
          <w:lang w:val="kk-KZ"/>
        </w:rPr>
        <w:t xml:space="preserve"> на общую сумму </w:t>
      </w:r>
      <w:r w:rsidR="008960E0">
        <w:rPr>
          <w:sz w:val="28"/>
          <w:szCs w:val="28"/>
        </w:rPr>
        <w:t>6 316 200,00</w:t>
      </w:r>
      <w:r w:rsidR="0021729C" w:rsidRPr="0021729C">
        <w:rPr>
          <w:sz w:val="28"/>
          <w:szCs w:val="28"/>
          <w:lang w:val="kk-KZ"/>
        </w:rPr>
        <w:t xml:space="preserve"> </w:t>
      </w:r>
      <w:r w:rsidR="009E2F19">
        <w:rPr>
          <w:sz w:val="28"/>
          <w:szCs w:val="28"/>
          <w:lang w:val="kk-KZ"/>
        </w:rPr>
        <w:t>(</w:t>
      </w:r>
      <w:r w:rsidR="008960E0">
        <w:rPr>
          <w:sz w:val="28"/>
          <w:szCs w:val="28"/>
          <w:lang w:val="kk-KZ"/>
        </w:rPr>
        <w:t>шесть миллионов триста шестнадцать тысяч двести</w:t>
      </w:r>
      <w:r w:rsidR="0021729C">
        <w:rPr>
          <w:sz w:val="28"/>
          <w:szCs w:val="28"/>
          <w:lang w:val="kk-KZ"/>
        </w:rPr>
        <w:t>) тенге</w:t>
      </w:r>
      <w:r w:rsidR="00DB66B2">
        <w:rPr>
          <w:sz w:val="28"/>
          <w:szCs w:val="28"/>
          <w:lang w:val="kk-KZ"/>
        </w:rPr>
        <w:t>.</w:t>
      </w:r>
    </w:p>
    <w:p w:rsidR="008960E0" w:rsidRPr="008960E0" w:rsidRDefault="008960E0" w:rsidP="008960E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8960E0">
        <w:rPr>
          <w:color w:val="000000"/>
          <w:sz w:val="28"/>
          <w:szCs w:val="28"/>
          <w:lang w:val="kk-KZ"/>
        </w:rPr>
        <w:t>ТОО «Медицина Әлемы»</w:t>
      </w:r>
      <w:r>
        <w:rPr>
          <w:color w:val="000000"/>
          <w:sz w:val="28"/>
          <w:szCs w:val="28"/>
          <w:lang w:val="kk-KZ"/>
        </w:rPr>
        <w:t xml:space="preserve">, </w:t>
      </w:r>
      <w:r w:rsidRPr="008960E0">
        <w:rPr>
          <w:color w:val="000000"/>
          <w:sz w:val="28"/>
          <w:szCs w:val="28"/>
          <w:lang w:val="kk-KZ"/>
        </w:rPr>
        <w:t>г. Нур-Султан, ул. Мариям Жагоркызы, д. 21</w:t>
      </w:r>
      <w:r>
        <w:rPr>
          <w:color w:val="000000"/>
          <w:sz w:val="28"/>
          <w:szCs w:val="28"/>
          <w:lang w:val="kk-KZ"/>
        </w:rPr>
        <w:t xml:space="preserve"> на общую сумму </w:t>
      </w:r>
      <w:r w:rsidR="00E4282D" w:rsidRPr="00E4282D">
        <w:rPr>
          <w:color w:val="000000"/>
          <w:sz w:val="28"/>
          <w:szCs w:val="28"/>
        </w:rPr>
        <w:t>10 076 024,00</w:t>
      </w:r>
      <w:r>
        <w:rPr>
          <w:color w:val="000000"/>
          <w:sz w:val="28"/>
          <w:szCs w:val="28"/>
          <w:lang w:val="kk-KZ"/>
        </w:rPr>
        <w:t xml:space="preserve"> (</w:t>
      </w:r>
      <w:r w:rsidR="00E4282D">
        <w:rPr>
          <w:color w:val="000000"/>
          <w:sz w:val="28"/>
          <w:szCs w:val="28"/>
          <w:lang w:val="kk-KZ"/>
        </w:rPr>
        <w:t>десять миллионов семьдесят шесть тысяч двадцать четыре</w:t>
      </w:r>
      <w:r>
        <w:rPr>
          <w:color w:val="000000"/>
          <w:sz w:val="28"/>
          <w:szCs w:val="28"/>
          <w:lang w:val="kk-KZ"/>
        </w:rPr>
        <w:t xml:space="preserve">) тенге. </w:t>
      </w:r>
    </w:p>
    <w:p w:rsidR="00F6674A" w:rsidRPr="00E4282D" w:rsidRDefault="00F6674A" w:rsidP="000D550F">
      <w:pPr>
        <w:tabs>
          <w:tab w:val="left" w:pos="1100"/>
          <w:tab w:val="left" w:pos="7020"/>
        </w:tabs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0B5B7C" w:rsidRPr="009E08CF" w:rsidRDefault="00DB66B2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0D550F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Абдрахманова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C54E01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Ж.Ж.</w:t>
            </w:r>
          </w:p>
          <w:p w:rsidR="009A4A18" w:rsidRPr="000C2E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6C763A" w:rsidRDefault="0021729C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Куанышева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Г.М.</w:t>
            </w: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6C763A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  <w:p w:rsidR="009A4A18" w:rsidRDefault="009A4A18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1729C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Тугамбаев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6C763A" w:rsidRDefault="006C763A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F6674A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Даулетов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</w:tbl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DC451F" w:rsidRPr="009E08CF" w:rsidRDefault="00DC451F">
      <w:pPr>
        <w:rPr>
          <w:sz w:val="28"/>
          <w:szCs w:val="28"/>
        </w:rPr>
      </w:pPr>
    </w:p>
    <w:sectPr w:rsidR="00DC451F" w:rsidRPr="009E08CF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0"/>
    <w:rsid w:val="000B5B7C"/>
    <w:rsid w:val="000C2ECF"/>
    <w:rsid w:val="000D550F"/>
    <w:rsid w:val="0011428F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519D"/>
    <w:rsid w:val="00396DEF"/>
    <w:rsid w:val="003B500D"/>
    <w:rsid w:val="003C7434"/>
    <w:rsid w:val="003E0446"/>
    <w:rsid w:val="004954EF"/>
    <w:rsid w:val="005277A0"/>
    <w:rsid w:val="00555AB0"/>
    <w:rsid w:val="00576326"/>
    <w:rsid w:val="0057721C"/>
    <w:rsid w:val="00591954"/>
    <w:rsid w:val="005A3A6C"/>
    <w:rsid w:val="005B4C0C"/>
    <w:rsid w:val="006C763A"/>
    <w:rsid w:val="00716D22"/>
    <w:rsid w:val="00730885"/>
    <w:rsid w:val="007643FD"/>
    <w:rsid w:val="00774CE0"/>
    <w:rsid w:val="007938A4"/>
    <w:rsid w:val="007E2470"/>
    <w:rsid w:val="00806392"/>
    <w:rsid w:val="0081121C"/>
    <w:rsid w:val="00842F3F"/>
    <w:rsid w:val="008960E0"/>
    <w:rsid w:val="008971EB"/>
    <w:rsid w:val="00926F5A"/>
    <w:rsid w:val="009A4A18"/>
    <w:rsid w:val="009A6A4D"/>
    <w:rsid w:val="009E08CF"/>
    <w:rsid w:val="009E2F19"/>
    <w:rsid w:val="00A3696B"/>
    <w:rsid w:val="00A65C14"/>
    <w:rsid w:val="00A81F84"/>
    <w:rsid w:val="00AA1FB6"/>
    <w:rsid w:val="00AB0F94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D25926"/>
    <w:rsid w:val="00D4377F"/>
    <w:rsid w:val="00D56003"/>
    <w:rsid w:val="00D6593A"/>
    <w:rsid w:val="00DA09F5"/>
    <w:rsid w:val="00DB66B2"/>
    <w:rsid w:val="00DC451F"/>
    <w:rsid w:val="00E16911"/>
    <w:rsid w:val="00E4282D"/>
    <w:rsid w:val="00E44005"/>
    <w:rsid w:val="00E71E1C"/>
    <w:rsid w:val="00EA4CF0"/>
    <w:rsid w:val="00F13172"/>
    <w:rsid w:val="00F66439"/>
    <w:rsid w:val="00F6674A"/>
    <w:rsid w:val="00F702A5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EC3"/>
  <w15:docId w15:val="{F36FC753-7450-49AB-AA2F-DA76366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7C8-2BB5-4DBF-B188-BC54FDA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44</cp:revision>
  <cp:lastPrinted>2021-07-03T06:48:00Z</cp:lastPrinted>
  <dcterms:created xsi:type="dcterms:W3CDTF">2017-04-25T04:36:00Z</dcterms:created>
  <dcterms:modified xsi:type="dcterms:W3CDTF">2021-07-03T06:48:00Z</dcterms:modified>
</cp:coreProperties>
</file>